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133E77" w:rsidRPr="00391AD6" w:rsidRDefault="00117B51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="00FA23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FA2309" w:rsidRPr="00391AD6" w:rsidRDefault="00FA2309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FA2309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09 июня 2023 года  № </w:t>
      </w:r>
      <w:r w:rsidR="00117B51">
        <w:rPr>
          <w:rFonts w:ascii="Arial" w:hAnsi="Arial" w:cs="Arial"/>
          <w:color w:val="000000" w:themeColor="text1"/>
          <w:sz w:val="24"/>
          <w:szCs w:val="24"/>
        </w:rPr>
        <w:t>31</w:t>
      </w:r>
    </w:p>
    <w:p w:rsidR="00133E77" w:rsidRDefault="00FA2309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117B51">
        <w:rPr>
          <w:rFonts w:ascii="Arial" w:hAnsi="Arial" w:cs="Arial"/>
          <w:color w:val="000000" w:themeColor="text1"/>
          <w:sz w:val="24"/>
          <w:szCs w:val="24"/>
        </w:rPr>
        <w:t>Ж</w:t>
      </w:r>
      <w:proofErr w:type="gramEnd"/>
      <w:r w:rsidR="00117B51">
        <w:rPr>
          <w:rFonts w:ascii="Arial" w:hAnsi="Arial" w:cs="Arial"/>
          <w:color w:val="000000" w:themeColor="text1"/>
          <w:sz w:val="24"/>
          <w:szCs w:val="24"/>
        </w:rPr>
        <w:t>ура</w:t>
      </w:r>
      <w:r>
        <w:rPr>
          <w:rFonts w:ascii="Arial" w:hAnsi="Arial" w:cs="Arial"/>
          <w:color w:val="000000" w:themeColor="text1"/>
          <w:sz w:val="24"/>
          <w:szCs w:val="24"/>
        </w:rPr>
        <w:t>вка</w:t>
      </w:r>
    </w:p>
    <w:p w:rsidR="00FA2309" w:rsidRPr="00391AD6" w:rsidRDefault="00FA2309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2309" w:rsidRDefault="00133E77" w:rsidP="00FA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 муниципальных учреждений </w:t>
      </w:r>
      <w:r w:rsidR="00117B51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33E77" w:rsidRPr="00391AD6" w:rsidRDefault="00133E77" w:rsidP="00FA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33E77" w:rsidRDefault="00133E77" w:rsidP="00FA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2309" w:rsidRDefault="00FA2309" w:rsidP="00FA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2309" w:rsidRPr="00391AD6" w:rsidRDefault="00FA2309" w:rsidP="00FA2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12.01.1996 № 7-ФЗ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«О некоммерческих организациях», со статьей 2 Федерального закона от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03.11.2006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№ 174-ФЗ «Об автономных учреждениях», информацией прокуратуры Кантемировского района от 31.05.2023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 xml:space="preserve"> № 2-12-2022,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117B51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133E77" w:rsidRDefault="00133E77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1. Утвердить</w:t>
      </w:r>
      <w:r w:rsidR="00FA2309">
        <w:rPr>
          <w:rFonts w:ascii="Arial" w:hAnsi="Arial" w:cs="Arial"/>
          <w:color w:val="000000" w:themeColor="text1"/>
          <w:sz w:val="24"/>
          <w:szCs w:val="24"/>
        </w:rPr>
        <w:t xml:space="preserve"> прилагаемый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Порядок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</w:t>
      </w:r>
      <w:r w:rsidR="00FA23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муниципальных учреждений</w:t>
      </w:r>
      <w:r w:rsidR="00FA23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FA2309" w:rsidRPr="00391AD6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Default="00CB5FF1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gramStart"/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выполнением настоящего постановления оставляю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собой.</w:t>
      </w:r>
    </w:p>
    <w:p w:rsidR="00FA2309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CB5FF1" w:rsidRDefault="008452DA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3.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FA2309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Pr="00391AD6" w:rsidRDefault="00FA2309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Глава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                                                </w:t>
      </w:r>
      <w:proofErr w:type="spellStart"/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>Р.В.Каплиев</w:t>
      </w:r>
      <w:proofErr w:type="spellEnd"/>
    </w:p>
    <w:p w:rsidR="001A3815" w:rsidRPr="00391AD6" w:rsidRDefault="001A3815" w:rsidP="00FA2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Default="00FA2309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FA230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Утвержден</w:t>
      </w:r>
    </w:p>
    <w:p w:rsidR="00FA2309" w:rsidRDefault="00133E77" w:rsidP="00FA230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постановлением администрации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133E77" w:rsidRDefault="00117B51" w:rsidP="00FA230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FA2309" w:rsidRPr="00391AD6" w:rsidRDefault="00FA2309" w:rsidP="00FA230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33E77" w:rsidRPr="00391AD6" w:rsidRDefault="00FA2309" w:rsidP="00FA230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от 09 июня 2023 года №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>31</w:t>
      </w:r>
    </w:p>
    <w:p w:rsidR="001A3815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A2309" w:rsidRPr="00391AD6" w:rsidRDefault="00FA230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74E1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Порядок</w:t>
      </w:r>
    </w:p>
    <w:p w:rsidR="00FA2309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муниципальных учреждений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</w:t>
      </w:r>
    </w:p>
    <w:p w:rsidR="00133E77" w:rsidRPr="00391AD6" w:rsidRDefault="001A3815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E63B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I. Общие положения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1. Настоящий Порядок определяет механизм реализации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деятельностью муниципальных учреждений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(далее - учреждения).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учреждений осуществляется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главой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его полномочиями и 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3. Контрольные мероприятия включают в себя плановые (внеплановые)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документарные проверки и (или) плановые (внеплановые) выездные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A3815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II. Основные направления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учреждений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4.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учреждений осуществляется по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следующим основным направлениям: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1) 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 финансовой деятельностью учреждения;</w:t>
      </w:r>
    </w:p>
    <w:p w:rsidR="00133E77" w:rsidRPr="00391AD6" w:rsidRDefault="00FA230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2)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использованием имущества, переданного учреждению на праве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3)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за выполнением муниципального задания;</w:t>
      </w:r>
    </w:p>
    <w:p w:rsidR="00133E77" w:rsidRPr="00391AD6" w:rsidRDefault="00FA230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4)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соответствием деятельности учреждения целям, предусмотренным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учредительными документами;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5) за исполнением законодательства Российской Федерации,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Воронежской области и нормативных правовых актов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поселения.</w:t>
      </w:r>
    </w:p>
    <w:p w:rsidR="008A0857" w:rsidRPr="00391AD6" w:rsidRDefault="008A085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46832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III.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финансовой деятельностью учреждения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5.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финансовой деятельностью учреждений представляет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собой систему обязательных контрольных действий в части проверки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законности, обоснованности, экономической эффективности 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целесообразности использования средств местного бюджета за определенный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период времени.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6.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финансовой деятельностью учреждения включает 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обоснованностью и целевым использованием средств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местного бюджета;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соблюдением порядка осуществления приносящей доход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деятельности, предельных цен (тарифов) на оплату оказываемых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услуг (выполняемых работ);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правильностью ведения бухгалтерского (бюджетного)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учета и составлением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контроль за выполнением плановых (прогнозных) показателей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результатов деятельности, анализ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причин отклонения фактических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показателей результатов деятельности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от плановых (прогнозных);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соблюдением требований, установленных бюджетным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 при размещении заказов на поставки товаров, выполнение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работ, оказание услуг для государственных нужд;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состоянием дебиторской и кредиторской задолженностей.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7. Финансовый контроль учреждения осуществляется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главными распорядителями средств местного бюджета (далее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- главные распорядители) в соответствии с бюджетным законодательством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и нормативными правовыми актами, регулирующими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бюджетные правоотношения.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8. Контрольные действия могут проводиться сплошным либо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выборочным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9. Сплошной способ заключается в проведении контрольного действия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отношении всей совокупности финансовых, бухгалтерских, отчетных 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иных документов, относящихся к одному вопросу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контрольного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10. Выборочный способ заключается в проведении контрольного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в отношении части финансовых, бухгалтерских, отчетных и иных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одному вопросу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11. Решение об использовании сплошного или выборочного способа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проведения контрольных действий по каждому вопросу контрольного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 принимает руководитель контрольной группы (работник,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проводящий проверку) исходя из содержания вопроса контрольного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мероприятия, объема финансовых, бухгалтерских, отчетных и иных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этому вопросу, состояния бухгалтерского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(бюджетного) учета, срока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12. Контрольные действия в отношении операций с денежными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средствами, а также расчетных операций проводятся сплошным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13.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финансовой деятельностью осуществляется 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следующей последовательности: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планирование контрольных мероприятий;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подготовка к проведению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проведение контрольного мероприятия, оформление его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своевременностью и полнотой устранения нарушений 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 проверенных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14. Планирование контрольной деятельности осуществляется путем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составления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36D6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утверждения главой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плана на календарный год.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15. План контрольной деятельности представляет собой перечень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контрольных мероприятий, которые планируется осуществить в следующем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календарном году.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16.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исполнением плана контрольной деятельности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осуществляю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специалисты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17. В отношении учреждения плановый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финансовой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деятельностью проводится один раз в два года (за исключением проведения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проверки устранения нарушений, выявленных ранее проведенным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контрольным мероприятием), но не реже одного раза в три года.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18. Внеплановые контрольные мероприятия проводятся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5C8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главными распорядителями в случае получения от органов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государственной и муниципальной власти, юридических лиц и граждан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информации о наличии признаков нарушений бюджетного законодательства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19. При подготовке контрольного мероприятия составляется программа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мероприятия, содержащая: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тему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наименование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перечень основных вопросов, подлежащих изучению в ходе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сроки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Контрольные мероприятия осуществляются на основании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распоряжения 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которым утверждается состав контрольной группы.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20. В ходе контрольного мероприятия проводятся контрольные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по проверке: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учредительных, регистрационных, плановых, бухгалтерских, отчетных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других документов (по форме и содержанию);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полноты, своевременности и правильности отражения совершенных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операций в бухгалтерском (бюджетном) учете и бухгалтерской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отчетности, в том числе путем сопоставления записей в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учетных регистрах с первичными учетными документами, показателей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бухгалтерской (бюджетной) отчетности с данными аналитического учета;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фактического наличия, сохранности и правильности использования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материальных ценностей, находящихся в собственности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в том числе денежных средств и ценных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бумаг, достоверности расчетов, объемов поставленных товаров,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выполненных работ и оказанных услуг, операций по формированию затрат 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состояния бухгалтерского (бюджетного) учета и бухгалтерской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принятых учреждением мер по устранению нарушений, возмещению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материального ущерба, привлечению к ответственности виновных лиц по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результатам предыдущей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21. Проведение контрольного мероприятия подлежит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документированию. Документация подлежит хранению в соответствии с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22. По результатам контрольного мероприятия составляется а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кт в дв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ух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экземплярах: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органа, осуществляющего контрольные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23. Акт представляется лицу, назначившему контрольное мероприятие,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рассмотрения и принятия соответствующих решений.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24. Руководителем учреждения в акт могут быть внесены замечания и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возражения. Руководитель контрольной группы (работник, проводящий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проверку) проверяет обоснованность замечаний и возражений и делает по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ним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соответствующее заключение, которое представляется лицу,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назначившему контрольное мероприятие.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25. Выявление нарушений действующего законодательства влечет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применение к виновным лицам мер ответственности в соответствии с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26. По результатам контрольной деятельности за очередной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календарный год составляется отчет.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27. Учреждение вправе обжаловать акт контрольного мероприятия, а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также действия (бездействие) контрольной группы в срок не более 30 дней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даты подписания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акта по контрольному мероприятию.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574F89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IV.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использованием имущества, переданного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учреждению на праве оперативного управления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28.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использованием имущества, переданного учреждению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на праве оперативного управления, </w:t>
      </w:r>
      <w:r w:rsidRPr="00BF4FED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="00BF4FED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29. Для проведения контрольных мероприятий администрацией</w:t>
      </w:r>
      <w:r w:rsidR="00FA230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формируется Комиссия, состав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которой утверждается распоряжением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30. Председатель Комиссии уведомляет руководство проверяемого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о проведении контрольного мероприятия, если это не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противоречит целям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31. Контрольные мероприятия за использованием имущества,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переданного учреждению на праве оперативного управления,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осуществляются как в плановом, так и во внеплановом порядке.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32. Плановые проверки осуществляются в сроки и в соответствии с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планом проведения контрольных мероприятий, утверждаемым главой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33. Внеплановые проверки за соблюдением учреждениями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законодательства при использовании имущества, переданного учреждению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 праве оперативного управления, проводятся в случаях: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исполнения предписаний об устранении выявленных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нарушений, отмеченных в актах проверок;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получения информации о выявленных случаях неэффективного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использования учреждением имущества в части необходимости изъятия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излишнего, неиспользуемого либо используемого не по назначению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 учреждения, а также путем отчуждения и (или) приобретения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имущества, переданного на праве оперативного управления учреждению.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34. Результаты контрольного мероприятия оформляются актом,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который подписывается членами Комиссии, проводящими контрольное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 в соответствии с распоряжением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главы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и утверждается председателем Комиссии.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35. Акт составляется в 2 экземплярах: для администрации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для проверяемого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36. Копии утвержденных актов направляются главе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37. При обнаружении в ходе проведения контрольного мероприятия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 действующего законодательства эти нарушения фиксируются 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акте с указанием руководителю проверяемого учреждения устранить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выявленные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нарушения в срок, определяемый администрацией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38. Учреждение вправе обжаловать главе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 контрольного мероприятия, а также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(бездействие) членов Комиссии, проводящих контрольное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мероприятие, в срок не более 30 дней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 даты подписания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акта по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контрольному мероприятию.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2460F8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V.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выполнением муниципального задания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39.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выполнением муниципального задания учреждением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осуществляется главным распорядителем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в целях соблюдения учреждени</w:t>
      </w:r>
      <w:r w:rsidR="003020D4" w:rsidRPr="003020D4">
        <w:rPr>
          <w:rFonts w:ascii="Arial" w:hAnsi="Arial" w:cs="Arial"/>
          <w:iCs/>
          <w:color w:val="000000" w:themeColor="text1"/>
          <w:sz w:val="24"/>
          <w:szCs w:val="24"/>
        </w:rPr>
        <w:t>ем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требований к качеству,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объему, порядку оказания муниципальной услуги (работы).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40.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выполнением муниципального задания учреждением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путем сбора и анализа отчетов о выполнении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задания, а также в форме выездной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41. Главный распорядитель организует сбор отчетов о выполнении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42. Основанием для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выполнением муниципального задания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форме выездной проверки является: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нарушение обяз</w:t>
      </w:r>
      <w:bookmarkStart w:id="0" w:name="_GoBack"/>
      <w:bookmarkEnd w:id="0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ательных требований, выявленных в результате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планового мероприятия по контролю (контроль устранения выявленных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получение информации от юридических лиц, индивидуальных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предпринимателей, органов государственной и (или) муниципальной власти,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физических лиц, жалоб на несоответствие качества оказанных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параметрам муниципального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43. На основании анализа ежегодных отчетов о выполнении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муниципального задания и оценки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качества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оказанных учреждением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главный распорядитель вправе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принять в пределах своей компетенции меры по обеспечению выполнения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учреждением путем корректировки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с соответствующим изменением объемов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финансирования.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44.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выполнением муниципального задания казенным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учреждением осуществляется только в случае принятия решения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 о формировании муниципального задания 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отношении казенного учреждения.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05A31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VI. Отчетность учреждений и оценка их деятельности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45. Регулярное представление учреждением отчетности включает 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Бухгалтерскую и бюджетную отчетность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Бухгалтерская отчетность бюджетных и автономных учреждений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ежемесячно, ежеквартально и ежегодно в срок до 1 числа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месяца, следующего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отчетным.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Отчет о выполнении плана финансово-хозяйственной деятельности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в срок и в соответствии с требованиями,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установленными приказом Министерства финансов Российской Федерации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 25.03.2011 № 33н.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46. По результатам анализа информации, содержащейся в отчетах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учреждений, главный распорядитель производит оценку деятельности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47. Оценка деятельности учреждений проводится по следующим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критериям: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объем и качество выполнения учреждением муниципального задания 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плановыми и фактически достигнутыми показателями в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отчетном периоде;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замечаний проверяющих органов по результатам проверок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финансовой деятельности учреждения, по использованию муниципального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17B51">
        <w:rPr>
          <w:rFonts w:ascii="Arial" w:hAnsi="Arial" w:cs="Arial"/>
          <w:iCs/>
          <w:color w:val="000000" w:themeColor="text1"/>
          <w:sz w:val="24"/>
          <w:szCs w:val="24"/>
        </w:rPr>
        <w:t xml:space="preserve">Журавского 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>, находящегося в учреждении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на праве 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нецелевого расходования бюджетных средств;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сроков и порядка предоставления бюджетной и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статистической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превышения предельно допустимых размеров кредиторской</w:t>
      </w:r>
      <w:r w:rsidR="00EF76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задолженности;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убытков от совершения крупных сделок;</w:t>
      </w:r>
    </w:p>
    <w:p w:rsidR="006B557D" w:rsidRPr="00391AD6" w:rsidRDefault="00133E77" w:rsidP="00B05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руководителем учреждения условий трудового договора с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учредителем.</w:t>
      </w:r>
    </w:p>
    <w:sectPr w:rsidR="006B557D" w:rsidRPr="00391AD6" w:rsidSect="00391A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D1"/>
    <w:rsid w:val="00055C84"/>
    <w:rsid w:val="00074EAC"/>
    <w:rsid w:val="000F7FC8"/>
    <w:rsid w:val="00113E34"/>
    <w:rsid w:val="00117B51"/>
    <w:rsid w:val="00133E77"/>
    <w:rsid w:val="001A3815"/>
    <w:rsid w:val="001E63B6"/>
    <w:rsid w:val="00216274"/>
    <w:rsid w:val="002460F8"/>
    <w:rsid w:val="002D2399"/>
    <w:rsid w:val="002D47CC"/>
    <w:rsid w:val="003020D4"/>
    <w:rsid w:val="00391AD6"/>
    <w:rsid w:val="00574F89"/>
    <w:rsid w:val="005C2E99"/>
    <w:rsid w:val="005F0A9F"/>
    <w:rsid w:val="006073BB"/>
    <w:rsid w:val="006B557D"/>
    <w:rsid w:val="007136D6"/>
    <w:rsid w:val="00715574"/>
    <w:rsid w:val="008452DA"/>
    <w:rsid w:val="008674E1"/>
    <w:rsid w:val="008A0857"/>
    <w:rsid w:val="008B2805"/>
    <w:rsid w:val="008C663D"/>
    <w:rsid w:val="00B05A31"/>
    <w:rsid w:val="00B11EA5"/>
    <w:rsid w:val="00BC245E"/>
    <w:rsid w:val="00BF4FED"/>
    <w:rsid w:val="00CB5FF1"/>
    <w:rsid w:val="00CC5D2E"/>
    <w:rsid w:val="00D73B50"/>
    <w:rsid w:val="00DA64D1"/>
    <w:rsid w:val="00DC0CBA"/>
    <w:rsid w:val="00EF7651"/>
    <w:rsid w:val="00F46832"/>
    <w:rsid w:val="00F91036"/>
    <w:rsid w:val="00FA2309"/>
    <w:rsid w:val="00FD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ЖуравскоеСП</cp:lastModifiedBy>
  <cp:revision>4</cp:revision>
  <dcterms:created xsi:type="dcterms:W3CDTF">2023-06-14T10:24:00Z</dcterms:created>
  <dcterms:modified xsi:type="dcterms:W3CDTF">2023-06-19T11:54:00Z</dcterms:modified>
</cp:coreProperties>
</file>